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D8D3" w14:textId="77777777" w:rsidR="00B513C5" w:rsidRDefault="00B513C5" w:rsidP="00FE5EC6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bCs/>
          <w:color w:val="00520D"/>
          <w:sz w:val="30"/>
          <w:szCs w:val="30"/>
        </w:rPr>
      </w:pPr>
    </w:p>
    <w:p w14:paraId="1EF594E5" w14:textId="63634F21" w:rsidR="00FE5EC6" w:rsidRPr="00552FA3" w:rsidRDefault="00FE5EC6" w:rsidP="00FE5EC6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bCs/>
          <w:color w:val="00520D"/>
          <w:sz w:val="30"/>
          <w:szCs w:val="30"/>
        </w:rPr>
      </w:pPr>
      <w:r w:rsidRPr="00552FA3">
        <w:rPr>
          <w:rFonts w:ascii="CenturyGothic" w:hAnsi="CenturyGothic" w:cs="CenturyGothic"/>
          <w:b/>
          <w:bCs/>
          <w:color w:val="00520D"/>
          <w:sz w:val="30"/>
          <w:szCs w:val="30"/>
        </w:rPr>
        <w:t>Registering Candidates and Ordering Learning Materials</w:t>
      </w:r>
      <w:r w:rsidR="00B513C5">
        <w:rPr>
          <w:rFonts w:ascii="CenturyGothic" w:hAnsi="CenturyGothic" w:cs="CenturyGothic"/>
          <w:b/>
          <w:bCs/>
          <w:color w:val="00520D"/>
          <w:sz w:val="30"/>
          <w:szCs w:val="30"/>
        </w:rPr>
        <w:t xml:space="preserve"> (202</w:t>
      </w:r>
      <w:r w:rsidR="00F13BCF">
        <w:rPr>
          <w:rFonts w:ascii="CenturyGothic" w:hAnsi="CenturyGothic" w:cs="CenturyGothic"/>
          <w:b/>
          <w:bCs/>
          <w:color w:val="00520D"/>
          <w:sz w:val="30"/>
          <w:szCs w:val="30"/>
        </w:rPr>
        <w:t>2</w:t>
      </w:r>
      <w:r w:rsidR="00B513C5">
        <w:rPr>
          <w:rFonts w:ascii="CenturyGothic" w:hAnsi="CenturyGothic" w:cs="CenturyGothic"/>
          <w:b/>
          <w:bCs/>
          <w:color w:val="00520D"/>
          <w:sz w:val="30"/>
          <w:szCs w:val="30"/>
        </w:rPr>
        <w:t>-2</w:t>
      </w:r>
      <w:r w:rsidR="00F13BCF">
        <w:rPr>
          <w:rFonts w:ascii="CenturyGothic" w:hAnsi="CenturyGothic" w:cs="CenturyGothic"/>
          <w:b/>
          <w:bCs/>
          <w:color w:val="00520D"/>
          <w:sz w:val="30"/>
          <w:szCs w:val="30"/>
        </w:rPr>
        <w:t>3</w:t>
      </w:r>
      <w:r w:rsidR="00B513C5">
        <w:rPr>
          <w:rFonts w:ascii="CenturyGothic" w:hAnsi="CenturyGothic" w:cs="CenturyGothic"/>
          <w:b/>
          <w:bCs/>
          <w:color w:val="00520D"/>
          <w:sz w:val="30"/>
          <w:szCs w:val="30"/>
        </w:rPr>
        <w:t>)</w:t>
      </w:r>
    </w:p>
    <w:p w14:paraId="0AEA6149" w14:textId="5CA2E6D7" w:rsidR="00FE5EC6" w:rsidRDefault="00FE5EC6" w:rsidP="00FE5EC6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520D"/>
          <w:sz w:val="24"/>
          <w:szCs w:val="24"/>
        </w:rPr>
      </w:pPr>
    </w:p>
    <w:p w14:paraId="02AB0E79" w14:textId="4172EB9B" w:rsidR="00FE5EC6" w:rsidRDefault="00FE5EC6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color w:val="000000"/>
          <w:sz w:val="24"/>
          <w:szCs w:val="24"/>
        </w:rPr>
      </w:pPr>
      <w:r w:rsidRPr="00552FA3">
        <w:rPr>
          <w:rFonts w:ascii="MyriadPro-Regular" w:hAnsi="MyriadPro-Regular" w:cs="MyriadPro-Regular"/>
          <w:color w:val="000000"/>
          <w:sz w:val="24"/>
          <w:szCs w:val="24"/>
        </w:rPr>
        <w:t>The CISI offers t</w:t>
      </w:r>
      <w:r w:rsidR="00573B5F">
        <w:rPr>
          <w:rFonts w:ascii="MyriadPro-Regular" w:hAnsi="MyriadPro-Regular" w:cs="MyriadPro-Regular"/>
          <w:color w:val="000000"/>
          <w:sz w:val="24"/>
          <w:szCs w:val="24"/>
        </w:rPr>
        <w:t>wo</w:t>
      </w:r>
      <w:r w:rsidRPr="00552FA3">
        <w:rPr>
          <w:rFonts w:ascii="MyriadPro-Regular" w:hAnsi="MyriadPro-Regular" w:cs="MyriadPro-Regular"/>
          <w:color w:val="000000"/>
          <w:sz w:val="24"/>
          <w:szCs w:val="24"/>
        </w:rPr>
        <w:t xml:space="preserve"> </w:t>
      </w:r>
      <w:r w:rsidR="00FE2078">
        <w:rPr>
          <w:rFonts w:ascii="MyriadPro-Regular" w:hAnsi="MyriadPro-Regular" w:cs="MyriadPro-Regular"/>
          <w:color w:val="000000"/>
          <w:sz w:val="24"/>
          <w:szCs w:val="24"/>
        </w:rPr>
        <w:t xml:space="preserve">externally assessed </w:t>
      </w:r>
      <w:r w:rsidRPr="00552FA3">
        <w:rPr>
          <w:rFonts w:ascii="MyriadPro-Regular" w:hAnsi="MyriadPro-Regular" w:cs="MyriadPro-Regular"/>
          <w:color w:val="000000"/>
          <w:sz w:val="24"/>
          <w:szCs w:val="24"/>
        </w:rPr>
        <w:t>units for delivery in schools and colleges</w:t>
      </w:r>
      <w:r w:rsidR="00FE2078">
        <w:rPr>
          <w:rFonts w:ascii="MyriadPro-Regular" w:hAnsi="MyriadPro-Regular" w:cs="MyriadPro-Regular"/>
          <w:color w:val="000000"/>
          <w:sz w:val="24"/>
          <w:szCs w:val="24"/>
        </w:rPr>
        <w:t xml:space="preserve"> via </w:t>
      </w:r>
      <w:r w:rsidRPr="00552FA3">
        <w:rPr>
          <w:rFonts w:ascii="MyriadPro-Regular" w:hAnsi="MyriadPro-Regular" w:cs="MyriadPro-Regular"/>
          <w:color w:val="000000"/>
          <w:sz w:val="24"/>
          <w:szCs w:val="24"/>
        </w:rPr>
        <w:t>computer-based exams:</w:t>
      </w:r>
    </w:p>
    <w:p w14:paraId="70C57E62" w14:textId="77777777" w:rsidR="00573B5F" w:rsidRPr="00552FA3" w:rsidRDefault="00573B5F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045E92E4" w14:textId="4BD49502" w:rsidR="00FE5EC6" w:rsidRPr="00552FA3" w:rsidRDefault="00FE5EC6" w:rsidP="006E3A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552FA3">
        <w:rPr>
          <w:rFonts w:ascii="MyriadPro-Semibold" w:hAnsi="MyriadPro-Semibold" w:cs="MyriadPro-Semibold"/>
          <w:b/>
          <w:bCs/>
          <w:color w:val="000000"/>
          <w:sz w:val="24"/>
          <w:szCs w:val="24"/>
        </w:rPr>
        <w:t>Level 3 Award for Introduction to Securities &amp; Investment</w:t>
      </w:r>
      <w:r w:rsidRPr="00552FA3">
        <w:rPr>
          <w:rFonts w:ascii="MyriadPro-Semibold" w:hAnsi="MyriadPro-Semibold" w:cs="MyriadPro-Semibold"/>
          <w:color w:val="000000"/>
          <w:sz w:val="24"/>
          <w:szCs w:val="24"/>
        </w:rPr>
        <w:t xml:space="preserve"> </w:t>
      </w:r>
      <w:r w:rsidRPr="00552FA3">
        <w:rPr>
          <w:rFonts w:ascii="MyriadPro-Regular" w:hAnsi="MyriadPro-Regular" w:cs="MyriadPro-Regular"/>
          <w:color w:val="000000"/>
          <w:sz w:val="24"/>
          <w:szCs w:val="24"/>
        </w:rPr>
        <w:t>– a standalone professional qualification</w:t>
      </w:r>
    </w:p>
    <w:p w14:paraId="5A0A5544" w14:textId="5CF33DAE" w:rsidR="00FE5EC6" w:rsidRPr="00552FA3" w:rsidRDefault="00FE5EC6" w:rsidP="006E3A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552FA3">
        <w:rPr>
          <w:rFonts w:ascii="MyriadPro-Semibold" w:hAnsi="MyriadPro-Semibold" w:cs="MyriadPro-Semibold"/>
          <w:b/>
          <w:bCs/>
          <w:color w:val="000000"/>
          <w:sz w:val="24"/>
          <w:szCs w:val="24"/>
        </w:rPr>
        <w:t>Level 2 Award in Fundamentals of Financial Services</w:t>
      </w:r>
      <w:r w:rsidRPr="00552FA3">
        <w:rPr>
          <w:rFonts w:ascii="MyriadPro-Semibold" w:hAnsi="MyriadPro-Semibold" w:cs="MyriadPro-Semibold"/>
          <w:color w:val="000000"/>
          <w:sz w:val="24"/>
          <w:szCs w:val="24"/>
        </w:rPr>
        <w:t xml:space="preserve"> </w:t>
      </w:r>
      <w:r w:rsidRPr="00552FA3">
        <w:rPr>
          <w:rFonts w:ascii="MyriadPro-Regular" w:hAnsi="MyriadPro-Regular" w:cs="MyriadPro-Regular"/>
          <w:color w:val="000000"/>
          <w:sz w:val="24"/>
          <w:szCs w:val="24"/>
        </w:rPr>
        <w:t>– a standalone professional qualification</w:t>
      </w:r>
    </w:p>
    <w:p w14:paraId="11110604" w14:textId="707C02AD" w:rsidR="00FE5EC6" w:rsidRPr="00552FA3" w:rsidRDefault="00FE5EC6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6C101B3F" w14:textId="77777777" w:rsidR="00682701" w:rsidRDefault="00682701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</w:pPr>
    </w:p>
    <w:p w14:paraId="7AD3849E" w14:textId="5A72400D" w:rsidR="00552FA3" w:rsidRDefault="00682701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</w:pPr>
      <w:r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  <w:t>REGISTERING CANDIDATES:</w:t>
      </w:r>
    </w:p>
    <w:p w14:paraId="6FCCFB3B" w14:textId="77777777" w:rsidR="00682701" w:rsidRPr="00552FA3" w:rsidRDefault="00682701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</w:pPr>
    </w:p>
    <w:p w14:paraId="77182906" w14:textId="48797F8F" w:rsidR="00FE5EC6" w:rsidRPr="00552FA3" w:rsidRDefault="00552FA3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color w:val="000000"/>
          <w:sz w:val="24"/>
          <w:szCs w:val="24"/>
        </w:rPr>
      </w:pPr>
      <w:r w:rsidRPr="00552FA3">
        <w:rPr>
          <w:rFonts w:ascii="MyriadPro-Regular" w:hAnsi="MyriadPro-Regular" w:cs="MyriadPro-Regular"/>
          <w:color w:val="000000"/>
          <w:sz w:val="24"/>
          <w:szCs w:val="24"/>
        </w:rPr>
        <w:t>Candidate registration</w:t>
      </w:r>
      <w:r>
        <w:rPr>
          <w:rFonts w:ascii="MyriadPro-Regular" w:hAnsi="MyriadPro-Regular" w:cs="MyriadPro-Regular"/>
          <w:color w:val="000000"/>
          <w:sz w:val="24"/>
          <w:szCs w:val="24"/>
        </w:rPr>
        <w:t>s</w:t>
      </w:r>
      <w:r w:rsidRPr="00552FA3">
        <w:rPr>
          <w:rFonts w:ascii="MyriadPro-Regular" w:hAnsi="MyriadPro-Regular" w:cs="MyriadPro-Regular"/>
          <w:color w:val="000000"/>
          <w:sz w:val="24"/>
          <w:szCs w:val="24"/>
        </w:rPr>
        <w:t xml:space="preserve"> </w:t>
      </w:r>
      <w:r w:rsidR="00FE5EC6" w:rsidRPr="00552FA3">
        <w:rPr>
          <w:rFonts w:ascii="MyriadPro-Regular" w:hAnsi="MyriadPro-Regular" w:cs="MyriadPro-Regular"/>
          <w:color w:val="000000"/>
          <w:sz w:val="24"/>
          <w:szCs w:val="24"/>
        </w:rPr>
        <w:t>take place at the start of the academic year, between September and the</w:t>
      </w:r>
      <w:r w:rsidR="00D55E3B">
        <w:rPr>
          <w:rFonts w:ascii="MyriadPro-Regular" w:hAnsi="MyriadPro-Regular" w:cs="MyriadPro-Regular"/>
          <w:color w:val="000000"/>
          <w:sz w:val="24"/>
          <w:szCs w:val="24"/>
        </w:rPr>
        <w:t xml:space="preserve"> end of November</w:t>
      </w:r>
      <w:r w:rsidR="00FE5EC6" w:rsidRPr="00552FA3">
        <w:rPr>
          <w:rFonts w:ascii="MyriadPro-Regular" w:hAnsi="MyriadPro-Regular" w:cs="MyriadPro-Regular"/>
          <w:color w:val="000000"/>
          <w:sz w:val="24"/>
          <w:szCs w:val="24"/>
        </w:rPr>
        <w:t xml:space="preserve">. This process allows the CISI to create candidate records and to order the relevant learning materials to support their studies. </w:t>
      </w:r>
    </w:p>
    <w:p w14:paraId="42386FC5" w14:textId="77777777" w:rsidR="00FE5EC6" w:rsidRPr="00552FA3" w:rsidRDefault="00FE5EC6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059780F1" w14:textId="50AF585D" w:rsidR="00FE5EC6" w:rsidRPr="00552FA3" w:rsidRDefault="00FE5EC6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color w:val="000000"/>
          <w:sz w:val="24"/>
          <w:szCs w:val="24"/>
        </w:rPr>
      </w:pPr>
      <w:r w:rsidRPr="00552FA3">
        <w:rPr>
          <w:rFonts w:ascii="MyriadPro-Regular" w:hAnsi="MyriadPro-Regular" w:cs="MyriadPro-Regular"/>
          <w:color w:val="000000"/>
          <w:sz w:val="24"/>
          <w:szCs w:val="24"/>
        </w:rPr>
        <w:t xml:space="preserve">At the start of an academic year, the centre will be contacted by the </w:t>
      </w:r>
      <w:hyperlink r:id="rId10" w:history="1">
        <w:r w:rsidR="00BD1014" w:rsidRPr="004A2A01">
          <w:rPr>
            <w:rStyle w:val="Hyperlink"/>
            <w:rFonts w:ascii="MyriadPro-Regular" w:hAnsi="MyriadPro-Regular" w:cs="MyriadPro-Regular"/>
            <w:sz w:val="24"/>
            <w:szCs w:val="24"/>
          </w:rPr>
          <w:t>schoolsandcolleges@cisi.org</w:t>
        </w:r>
      </w:hyperlink>
      <w:r w:rsidR="00BD1014">
        <w:rPr>
          <w:rFonts w:ascii="MyriadPro-Regular" w:hAnsi="MyriadPro-Regular" w:cs="MyriadPro-Regular"/>
          <w:color w:val="000000"/>
          <w:sz w:val="24"/>
          <w:szCs w:val="24"/>
        </w:rPr>
        <w:t xml:space="preserve"> </w:t>
      </w:r>
      <w:r w:rsidR="00552FA3">
        <w:rPr>
          <w:rFonts w:ascii="MyriadPro-Regular" w:hAnsi="MyriadPro-Regular" w:cs="MyriadPro-Regular"/>
          <w:color w:val="000000"/>
          <w:sz w:val="24"/>
          <w:szCs w:val="24"/>
        </w:rPr>
        <w:t>t</w:t>
      </w:r>
      <w:r w:rsidRPr="00552FA3">
        <w:rPr>
          <w:rFonts w:ascii="MyriadPro-Regular" w:hAnsi="MyriadPro-Regular" w:cs="MyriadPro-Regular"/>
          <w:color w:val="000000"/>
          <w:sz w:val="24"/>
          <w:szCs w:val="24"/>
        </w:rPr>
        <w:t xml:space="preserve">o inform them of the registration deadline </w:t>
      </w:r>
      <w:r w:rsidR="00D55E3B">
        <w:rPr>
          <w:rFonts w:ascii="MyriadPro-Regular" w:hAnsi="MyriadPro-Regular" w:cs="MyriadPro-Regular"/>
          <w:color w:val="000000"/>
          <w:sz w:val="24"/>
          <w:szCs w:val="24"/>
        </w:rPr>
        <w:t>and the Excel document which should be populated with the relevant information to register students.</w:t>
      </w:r>
    </w:p>
    <w:p w14:paraId="76C21C8B" w14:textId="77777777" w:rsidR="00FE5EC6" w:rsidRPr="00552FA3" w:rsidRDefault="00FE5EC6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3ADB146E" w14:textId="4595CB1A" w:rsidR="007D5F79" w:rsidRPr="00552FA3" w:rsidRDefault="007D5F79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0000"/>
          <w:sz w:val="24"/>
          <w:szCs w:val="24"/>
        </w:rPr>
      </w:pPr>
      <w:r w:rsidRPr="00552FA3">
        <w:rPr>
          <w:rFonts w:ascii="MyriadPro-Regular" w:hAnsi="MyriadPro-Regular" w:cs="MyriadPro-Regular"/>
          <w:color w:val="000000"/>
          <w:sz w:val="24"/>
          <w:szCs w:val="24"/>
        </w:rPr>
        <w:t xml:space="preserve">The spreadsheet called </w:t>
      </w:r>
      <w:r w:rsidRPr="00552FA3">
        <w:rPr>
          <w:rFonts w:ascii="MyriadPro-Regular" w:hAnsi="MyriadPro-Regular" w:cs="MyriadPro-Regular"/>
          <w:b/>
          <w:bCs/>
          <w:color w:val="000000"/>
          <w:sz w:val="24"/>
          <w:szCs w:val="24"/>
        </w:rPr>
        <w:t xml:space="preserve">‘CISI School and College Student Registrations BLANK’ </w:t>
      </w:r>
      <w:r w:rsidR="00D55E3B" w:rsidRPr="00D55E3B">
        <w:rPr>
          <w:rFonts w:ascii="MyriadPro-Regular" w:hAnsi="MyriadPro-Regular" w:cs="MyriadPro-Regular"/>
          <w:color w:val="000000"/>
          <w:sz w:val="24"/>
          <w:szCs w:val="24"/>
        </w:rPr>
        <w:t xml:space="preserve">looks like the </w:t>
      </w:r>
      <w:r w:rsidRPr="00D55E3B">
        <w:rPr>
          <w:rFonts w:ascii="MyriadPro-Regular" w:hAnsi="MyriadPro-Regular" w:cs="MyriadPro-Regular"/>
          <w:color w:val="000000"/>
          <w:sz w:val="24"/>
          <w:szCs w:val="24"/>
        </w:rPr>
        <w:t>see screenshot below</w:t>
      </w:r>
      <w:r w:rsidRPr="00552FA3">
        <w:rPr>
          <w:rFonts w:ascii="MyriadPro-Regular" w:hAnsi="MyriadPro-Regular" w:cs="MyriadPro-Regular"/>
          <w:b/>
          <w:bCs/>
          <w:color w:val="000000"/>
          <w:sz w:val="24"/>
          <w:szCs w:val="24"/>
        </w:rPr>
        <w:t xml:space="preserve">.  </w:t>
      </w:r>
    </w:p>
    <w:p w14:paraId="0E1BE009" w14:textId="5E6E682D" w:rsidR="007D5F79" w:rsidRDefault="007D5F79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0000"/>
          <w:sz w:val="20"/>
          <w:szCs w:val="20"/>
        </w:rPr>
      </w:pPr>
    </w:p>
    <w:p w14:paraId="4C9F6073" w14:textId="273AF026" w:rsidR="007D5F79" w:rsidRDefault="007D5F79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B1BA744" wp14:editId="70CD0C11">
            <wp:extent cx="6025434" cy="2343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3045" b="7820"/>
                    <a:stretch/>
                  </pic:blipFill>
                  <pic:spPr bwMode="auto">
                    <a:xfrm>
                      <a:off x="0" y="0"/>
                      <a:ext cx="6032214" cy="2345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C2651D" w14:textId="62ADEA31" w:rsidR="007D5F79" w:rsidRDefault="007D5F79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0000"/>
          <w:sz w:val="20"/>
          <w:szCs w:val="20"/>
        </w:rPr>
      </w:pPr>
    </w:p>
    <w:p w14:paraId="285616F9" w14:textId="44201502" w:rsidR="00552FA3" w:rsidRPr="00552FA3" w:rsidRDefault="00552FA3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color w:val="000000"/>
          <w:sz w:val="24"/>
          <w:szCs w:val="24"/>
        </w:rPr>
      </w:pPr>
      <w:r w:rsidRPr="00552FA3">
        <w:rPr>
          <w:rFonts w:ascii="MyriadPro-Regular" w:hAnsi="MyriadPro-Regular" w:cs="MyriadPro-Regular"/>
          <w:color w:val="000000"/>
          <w:sz w:val="24"/>
          <w:szCs w:val="24"/>
        </w:rPr>
        <w:t>To register candidates, please complete the spreadsheet by:</w:t>
      </w:r>
    </w:p>
    <w:p w14:paraId="0E0D2F34" w14:textId="77777777" w:rsidR="00552FA3" w:rsidRPr="00552FA3" w:rsidRDefault="00552FA3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44FE3FC7" w14:textId="48705F65" w:rsidR="007D5F79" w:rsidRPr="00552FA3" w:rsidRDefault="00552FA3" w:rsidP="006E3A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000000"/>
          <w:sz w:val="24"/>
          <w:szCs w:val="24"/>
        </w:rPr>
      </w:pPr>
      <w:r w:rsidRPr="00552FA3">
        <w:rPr>
          <w:rFonts w:ascii="MyriadPro-Regular" w:hAnsi="MyriadPro-Regular" w:cs="MyriadPro-Regular"/>
          <w:b/>
          <w:bCs/>
          <w:color w:val="000000"/>
          <w:sz w:val="24"/>
          <w:szCs w:val="24"/>
        </w:rPr>
        <w:t>Selecting the relevant qualification name that candidates will be studying</w:t>
      </w:r>
    </w:p>
    <w:p w14:paraId="1A08786A" w14:textId="7B71D3F7" w:rsidR="00552FA3" w:rsidRPr="00552FA3" w:rsidRDefault="00552FA3" w:rsidP="006E3A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000000"/>
          <w:sz w:val="24"/>
          <w:szCs w:val="24"/>
        </w:rPr>
      </w:pPr>
      <w:r w:rsidRPr="00552FA3">
        <w:rPr>
          <w:rFonts w:ascii="MyriadPro-Regular" w:hAnsi="MyriadPro-Regular" w:cs="MyriadPro-Regular"/>
          <w:b/>
          <w:bCs/>
          <w:color w:val="000000"/>
          <w:sz w:val="24"/>
          <w:szCs w:val="24"/>
        </w:rPr>
        <w:t>Adding the details of the school and key contacts requested</w:t>
      </w:r>
    </w:p>
    <w:p w14:paraId="58DD9919" w14:textId="3180F050" w:rsidR="00552FA3" w:rsidRPr="00552FA3" w:rsidRDefault="00552FA3" w:rsidP="006E3A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000000"/>
          <w:sz w:val="24"/>
          <w:szCs w:val="24"/>
        </w:rPr>
      </w:pPr>
      <w:r w:rsidRPr="00552FA3">
        <w:rPr>
          <w:rFonts w:ascii="MyriadPro-Regular" w:hAnsi="MyriadPro-Regular" w:cs="MyriadPro-Regular"/>
          <w:b/>
          <w:bCs/>
          <w:color w:val="000000"/>
          <w:sz w:val="24"/>
          <w:szCs w:val="24"/>
        </w:rPr>
        <w:t>Adding the candidates’ details</w:t>
      </w:r>
      <w:r w:rsidR="00B513C5">
        <w:rPr>
          <w:rFonts w:ascii="MyriadPro-Regular" w:hAnsi="MyriadPro-Regular" w:cs="MyriadPro-Regular"/>
          <w:b/>
          <w:bCs/>
          <w:color w:val="000000"/>
          <w:sz w:val="24"/>
          <w:szCs w:val="24"/>
        </w:rPr>
        <w:t xml:space="preserve"> (Salutation, Name, Email address and Date of Birth)</w:t>
      </w:r>
    </w:p>
    <w:p w14:paraId="2DB130BC" w14:textId="77777777" w:rsidR="007D5F79" w:rsidRPr="00552FA3" w:rsidRDefault="007D5F79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0000"/>
          <w:sz w:val="24"/>
          <w:szCs w:val="24"/>
        </w:rPr>
      </w:pPr>
    </w:p>
    <w:p w14:paraId="058E334D" w14:textId="77777777" w:rsidR="00FE5EC6" w:rsidRPr="00552FA3" w:rsidRDefault="00FE5EC6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1D264DF1" w14:textId="38FADC07" w:rsidR="00D87F52" w:rsidRDefault="006E3AD3" w:rsidP="006E3AD3">
      <w:pPr>
        <w:contextualSpacing/>
        <w:rPr>
          <w:rFonts w:ascii="MyriadPro-Regular" w:hAnsi="MyriadPro-Regular" w:cs="MyriadPro-Regular"/>
          <w:color w:val="000000"/>
          <w:sz w:val="24"/>
          <w:szCs w:val="24"/>
        </w:rPr>
      </w:pPr>
      <w:r w:rsidRPr="006E3AD3">
        <w:rPr>
          <w:sz w:val="24"/>
          <w:szCs w:val="24"/>
        </w:rPr>
        <w:lastRenderedPageBreak/>
        <w:t>Once the registration spreadsheet has been complet</w:t>
      </w:r>
      <w:r>
        <w:rPr>
          <w:sz w:val="24"/>
          <w:szCs w:val="24"/>
        </w:rPr>
        <w:t>e</w:t>
      </w:r>
      <w:r w:rsidRPr="006E3AD3">
        <w:rPr>
          <w:sz w:val="24"/>
          <w:szCs w:val="24"/>
        </w:rPr>
        <w:t>d</w:t>
      </w:r>
      <w:r>
        <w:rPr>
          <w:sz w:val="24"/>
          <w:szCs w:val="24"/>
        </w:rPr>
        <w:t xml:space="preserve">, please </w:t>
      </w:r>
      <w:r w:rsidR="003F1F94">
        <w:rPr>
          <w:sz w:val="24"/>
          <w:szCs w:val="24"/>
        </w:rPr>
        <w:t xml:space="preserve">password protect the document and send this to the </w:t>
      </w:r>
      <w:hyperlink r:id="rId12" w:history="1">
        <w:r w:rsidR="00BD1014" w:rsidRPr="004A2A01">
          <w:rPr>
            <w:rStyle w:val="Hyperlink"/>
            <w:sz w:val="24"/>
            <w:szCs w:val="24"/>
          </w:rPr>
          <w:t>schoolsandcolleges@cisi.org</w:t>
        </w:r>
      </w:hyperlink>
      <w:r w:rsidR="00BD1014">
        <w:rPr>
          <w:sz w:val="24"/>
          <w:szCs w:val="24"/>
        </w:rPr>
        <w:t xml:space="preserve"> </w:t>
      </w:r>
      <w:r w:rsidR="003F1F94">
        <w:rPr>
          <w:rFonts w:ascii="MyriadPro-Regular" w:hAnsi="MyriadPro-Regular" w:cs="MyriadPro-Regular"/>
          <w:color w:val="000000"/>
          <w:sz w:val="24"/>
          <w:szCs w:val="24"/>
        </w:rPr>
        <w:t>along with the password (in a separate email).</w:t>
      </w:r>
    </w:p>
    <w:p w14:paraId="18371C7F" w14:textId="77777777" w:rsidR="003F1F94" w:rsidRDefault="003F1F94" w:rsidP="006E3AD3">
      <w:pPr>
        <w:contextualSpacing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151A0D55" w14:textId="02A1B7A8" w:rsidR="006E3AD3" w:rsidRDefault="006E3AD3" w:rsidP="006E3AD3">
      <w:pPr>
        <w:contextualSpacing/>
        <w:rPr>
          <w:rFonts w:ascii="MyriadPro-Regular" w:hAnsi="MyriadPro-Regular" w:cs="MyriadPro-Regular"/>
          <w:color w:val="00000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The </w:t>
      </w:r>
      <w:r w:rsidR="00BD1014">
        <w:t xml:space="preserve">Schools and Colleges team </w:t>
      </w:r>
      <w:r>
        <w:rPr>
          <w:rFonts w:ascii="MyriadPro-Regular" w:hAnsi="MyriadPro-Regular" w:cs="MyriadPro-Regular"/>
          <w:color w:val="000000"/>
          <w:sz w:val="24"/>
          <w:szCs w:val="24"/>
        </w:rPr>
        <w:t>will register candidates on the CISI system and complete the spreadsheet with the CISI candidate numbers for each student.  Th</w:t>
      </w:r>
      <w:r w:rsidR="003F1F94">
        <w:rPr>
          <w:rFonts w:ascii="MyriadPro-Regular" w:hAnsi="MyriadPro-Regular" w:cs="MyriadPro-Regular"/>
          <w:color w:val="000000"/>
          <w:sz w:val="24"/>
          <w:szCs w:val="24"/>
        </w:rPr>
        <w:t xml:space="preserve">e completed spreadsheet containing the candidate numbers will be sent back to you, attached in 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an email to confirm that this has been </w:t>
      </w:r>
      <w:r w:rsidR="003F1F94">
        <w:rPr>
          <w:rFonts w:ascii="MyriadPro-Regular" w:hAnsi="MyriadPro-Regular" w:cs="MyriadPro-Regular"/>
          <w:color w:val="000000"/>
          <w:sz w:val="24"/>
          <w:szCs w:val="24"/>
        </w:rPr>
        <w:t>actioned.</w:t>
      </w:r>
    </w:p>
    <w:p w14:paraId="2C1522EE" w14:textId="41E9DF33" w:rsidR="00E07058" w:rsidRDefault="00E07058" w:rsidP="006E3AD3">
      <w:pPr>
        <w:contextualSpacing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2D9693A7" w14:textId="77777777" w:rsidR="00BC6E68" w:rsidRDefault="00BC6E68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</w:pPr>
    </w:p>
    <w:p w14:paraId="6EBACBBB" w14:textId="4A2CA3D9" w:rsidR="006E3AD3" w:rsidRDefault="006E3AD3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</w:pPr>
      <w:r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  <w:t>O</w:t>
      </w:r>
      <w:r w:rsidR="00682701"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  <w:t>RDERING LEARNING MATERIALS:</w:t>
      </w:r>
    </w:p>
    <w:p w14:paraId="48DDAF03" w14:textId="77777777" w:rsidR="003F1F94" w:rsidRDefault="003F1F94" w:rsidP="006E3AD3">
      <w:pPr>
        <w:contextualSpacing/>
        <w:rPr>
          <w:sz w:val="24"/>
          <w:szCs w:val="24"/>
        </w:rPr>
      </w:pPr>
    </w:p>
    <w:p w14:paraId="7E5607BE" w14:textId="72FA33BA" w:rsidR="006E3AD3" w:rsidRDefault="003F1F94" w:rsidP="006E3AD3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At the same time candidates are </w:t>
      </w:r>
      <w:r w:rsidR="006E3AD3">
        <w:rPr>
          <w:sz w:val="24"/>
          <w:szCs w:val="24"/>
        </w:rPr>
        <w:t>registered, workbooks and the relevant e-learning package will be ordered for each candidate.</w:t>
      </w:r>
    </w:p>
    <w:p w14:paraId="374EB4CE" w14:textId="77777777" w:rsidR="006E3AD3" w:rsidRDefault="006E3AD3" w:rsidP="006E3AD3">
      <w:pPr>
        <w:contextualSpacing/>
        <w:rPr>
          <w:sz w:val="24"/>
          <w:szCs w:val="24"/>
        </w:rPr>
      </w:pPr>
    </w:p>
    <w:p w14:paraId="1F261445" w14:textId="0A9BBBEE" w:rsidR="001A58DE" w:rsidRPr="001A58DE" w:rsidRDefault="006E3AD3" w:rsidP="006E3AD3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7030A0"/>
          <w:sz w:val="24"/>
          <w:szCs w:val="24"/>
        </w:rPr>
      </w:pPr>
      <w:r w:rsidRPr="00552FA3">
        <w:rPr>
          <w:rFonts w:ascii="MyriadPro-Regular" w:hAnsi="MyriadPro-Regular" w:cs="MyriadPro-Regular"/>
          <w:b/>
          <w:bCs/>
          <w:color w:val="7030A0"/>
          <w:sz w:val="24"/>
          <w:szCs w:val="24"/>
        </w:rPr>
        <w:t xml:space="preserve">Please note that if candidates are registered, they are required to have hard-copy workbooks ordered to accompany their studies </w:t>
      </w:r>
      <w:r w:rsidR="00BD1014">
        <w:rPr>
          <w:rFonts w:ascii="MyriadPro-Regular" w:hAnsi="MyriadPro-Regular" w:cs="MyriadPro-Regular"/>
          <w:b/>
          <w:bCs/>
          <w:color w:val="7030A0"/>
          <w:sz w:val="24"/>
          <w:szCs w:val="24"/>
        </w:rPr>
        <w:t xml:space="preserve">- </w:t>
      </w:r>
      <w:r w:rsidRPr="00552FA3">
        <w:rPr>
          <w:rFonts w:ascii="MyriadPro-Regular" w:hAnsi="MyriadPro-Regular" w:cs="MyriadPro-Regular"/>
          <w:b/>
          <w:bCs/>
          <w:color w:val="7030A0"/>
          <w:sz w:val="24"/>
          <w:szCs w:val="24"/>
        </w:rPr>
        <w:t>charged at £4</w:t>
      </w:r>
      <w:r w:rsidR="00BD1014">
        <w:rPr>
          <w:rFonts w:ascii="MyriadPro-Regular" w:hAnsi="MyriadPro-Regular" w:cs="MyriadPro-Regular"/>
          <w:b/>
          <w:bCs/>
          <w:color w:val="7030A0"/>
          <w:sz w:val="24"/>
          <w:szCs w:val="24"/>
        </w:rPr>
        <w:t>2</w:t>
      </w:r>
      <w:r w:rsidRPr="00552FA3">
        <w:rPr>
          <w:rFonts w:ascii="MyriadPro-Regular" w:hAnsi="MyriadPro-Regular" w:cs="MyriadPro-Regular"/>
          <w:b/>
          <w:bCs/>
          <w:color w:val="7030A0"/>
          <w:sz w:val="24"/>
          <w:szCs w:val="24"/>
        </w:rPr>
        <w:t xml:space="preserve"> per candidat</w:t>
      </w:r>
      <w:r w:rsidR="00BD1014">
        <w:rPr>
          <w:rFonts w:ascii="MyriadPro-Regular" w:hAnsi="MyriadPro-Regular" w:cs="MyriadPro-Regular"/>
          <w:b/>
          <w:bCs/>
          <w:color w:val="7030A0"/>
          <w:sz w:val="24"/>
          <w:szCs w:val="24"/>
        </w:rPr>
        <w:t xml:space="preserve">e. </w:t>
      </w:r>
    </w:p>
    <w:p w14:paraId="17CC6819" w14:textId="23C6F2AF" w:rsidR="006E3AD3" w:rsidRDefault="006E3AD3" w:rsidP="006E3AD3">
      <w:pPr>
        <w:contextualSpacing/>
        <w:rPr>
          <w:sz w:val="24"/>
          <w:szCs w:val="24"/>
        </w:rPr>
      </w:pPr>
    </w:p>
    <w:p w14:paraId="6D52C821" w14:textId="7F949A12" w:rsidR="001A58DE" w:rsidRDefault="000D154F" w:rsidP="006E3AD3">
      <w:pPr>
        <w:contextualSpacing/>
        <w:rPr>
          <w:sz w:val="24"/>
          <w:szCs w:val="24"/>
        </w:rPr>
      </w:pPr>
      <w:r>
        <w:rPr>
          <w:sz w:val="24"/>
          <w:szCs w:val="24"/>
        </w:rPr>
        <w:t>Candidates will receive seve</w:t>
      </w:r>
      <w:r w:rsidR="001A58DE">
        <w:rPr>
          <w:sz w:val="24"/>
          <w:szCs w:val="24"/>
        </w:rPr>
        <w:t>ral automated emails from the CISI:</w:t>
      </w:r>
    </w:p>
    <w:p w14:paraId="44D8EACF" w14:textId="7E35BE61" w:rsidR="001A58DE" w:rsidRDefault="001A58DE" w:rsidP="001A58DE">
      <w:pPr>
        <w:pStyle w:val="ListParagraph"/>
        <w:numPr>
          <w:ilvl w:val="0"/>
          <w:numId w:val="4"/>
        </w:numPr>
        <w:rPr>
          <w:b/>
          <w:bCs/>
          <w:color w:val="7030A0"/>
          <w:sz w:val="24"/>
          <w:szCs w:val="24"/>
        </w:rPr>
      </w:pPr>
      <w:r w:rsidRPr="001A58DE">
        <w:rPr>
          <w:b/>
          <w:bCs/>
          <w:sz w:val="24"/>
          <w:szCs w:val="24"/>
        </w:rPr>
        <w:t>New Customer Registration</w:t>
      </w:r>
      <w:r w:rsidRPr="001A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this will provide students with their customer number and details to log-in to </w:t>
      </w:r>
      <w:hyperlink r:id="rId13" w:history="1">
        <w:r w:rsidRPr="004470FF">
          <w:rPr>
            <w:rStyle w:val="Hyperlink"/>
            <w:sz w:val="24"/>
            <w:szCs w:val="24"/>
          </w:rPr>
          <w:t>‘</w:t>
        </w:r>
        <w:proofErr w:type="spellStart"/>
        <w:r w:rsidRPr="004470FF">
          <w:rPr>
            <w:rStyle w:val="Hyperlink"/>
            <w:sz w:val="24"/>
            <w:szCs w:val="24"/>
          </w:rPr>
          <w:t>MyCISI</w:t>
        </w:r>
        <w:proofErr w:type="spellEnd"/>
        <w:r w:rsidRPr="004470FF">
          <w:rPr>
            <w:rStyle w:val="Hyperlink"/>
            <w:sz w:val="24"/>
            <w:szCs w:val="24"/>
          </w:rPr>
          <w:t>’</w:t>
        </w:r>
      </w:hyperlink>
      <w:r>
        <w:rPr>
          <w:sz w:val="24"/>
          <w:szCs w:val="24"/>
        </w:rPr>
        <w:t xml:space="preserve"> (members portal).  </w:t>
      </w:r>
      <w:r w:rsidRPr="001A58DE">
        <w:rPr>
          <w:b/>
          <w:bCs/>
          <w:color w:val="7030A0"/>
          <w:sz w:val="24"/>
          <w:szCs w:val="24"/>
        </w:rPr>
        <w:t>Accounts must be activated withing 48-hours of receiving this email.</w:t>
      </w:r>
    </w:p>
    <w:p w14:paraId="7BDA1060" w14:textId="77777777" w:rsidR="001A58DE" w:rsidRPr="001A58DE" w:rsidRDefault="001A58DE" w:rsidP="001A58DE">
      <w:pPr>
        <w:pStyle w:val="ListParagraph"/>
        <w:rPr>
          <w:b/>
          <w:bCs/>
          <w:color w:val="7030A0"/>
          <w:sz w:val="24"/>
          <w:szCs w:val="24"/>
        </w:rPr>
      </w:pPr>
    </w:p>
    <w:p w14:paraId="02F0264B" w14:textId="77B33AA4" w:rsidR="001A58DE" w:rsidRDefault="001A58DE" w:rsidP="001A58D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A58DE">
        <w:rPr>
          <w:b/>
          <w:bCs/>
          <w:sz w:val="24"/>
          <w:szCs w:val="24"/>
        </w:rPr>
        <w:t xml:space="preserve">Workbook Order </w:t>
      </w:r>
      <w:r>
        <w:rPr>
          <w:b/>
          <w:bCs/>
          <w:sz w:val="24"/>
          <w:szCs w:val="24"/>
        </w:rPr>
        <w:t xml:space="preserve">Confirmation </w:t>
      </w:r>
      <w:r>
        <w:rPr>
          <w:sz w:val="24"/>
          <w:szCs w:val="24"/>
        </w:rPr>
        <w:t xml:space="preserve">– Provides a link to a pdf version of the workbook (in addition to the hardcopy that will be sent to the school).   The physical workbooks are sent to teachers with a normal </w:t>
      </w:r>
      <w:r w:rsidRPr="001A58DE">
        <w:rPr>
          <w:b/>
          <w:bCs/>
          <w:color w:val="7030A0"/>
          <w:sz w:val="24"/>
          <w:szCs w:val="24"/>
        </w:rPr>
        <w:t>lead-time of 7-10 working days</w:t>
      </w:r>
      <w:r w:rsidRPr="001A58DE">
        <w:rPr>
          <w:color w:val="7030A0"/>
          <w:sz w:val="24"/>
          <w:szCs w:val="24"/>
        </w:rPr>
        <w:t xml:space="preserve"> </w:t>
      </w:r>
      <w:r>
        <w:rPr>
          <w:sz w:val="24"/>
          <w:szCs w:val="24"/>
        </w:rPr>
        <w:t>following the order being made.</w:t>
      </w:r>
    </w:p>
    <w:p w14:paraId="31DDAAE0" w14:textId="77777777" w:rsidR="001A58DE" w:rsidRDefault="001A58DE" w:rsidP="001A58DE">
      <w:pPr>
        <w:pStyle w:val="ListParagraph"/>
        <w:rPr>
          <w:sz w:val="24"/>
          <w:szCs w:val="24"/>
        </w:rPr>
      </w:pPr>
    </w:p>
    <w:p w14:paraId="0E078663" w14:textId="5E76FA9E" w:rsidR="001A58DE" w:rsidRPr="001A58DE" w:rsidRDefault="001A58DE" w:rsidP="001A58D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A58DE">
        <w:rPr>
          <w:b/>
          <w:bCs/>
          <w:sz w:val="24"/>
          <w:szCs w:val="24"/>
        </w:rPr>
        <w:t>E-Learning Access</w:t>
      </w:r>
      <w:r>
        <w:rPr>
          <w:b/>
          <w:bCs/>
          <w:sz w:val="24"/>
          <w:szCs w:val="24"/>
        </w:rPr>
        <w:t xml:space="preserve"> Confirmation</w:t>
      </w:r>
      <w:r>
        <w:rPr>
          <w:sz w:val="24"/>
          <w:szCs w:val="24"/>
        </w:rPr>
        <w:t xml:space="preserve"> – Provides a link to the e-learning package for students to use.</w:t>
      </w:r>
    </w:p>
    <w:p w14:paraId="157968AD" w14:textId="0145CC04" w:rsidR="001A58DE" w:rsidRPr="00552FA3" w:rsidRDefault="001A58DE" w:rsidP="001A58DE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7030A0"/>
          <w:sz w:val="24"/>
          <w:szCs w:val="24"/>
        </w:rPr>
      </w:pPr>
      <w:r w:rsidRPr="00552FA3">
        <w:rPr>
          <w:rFonts w:ascii="MyriadPro-Regular" w:hAnsi="MyriadPro-Regular" w:cs="MyriadPro-Regular"/>
          <w:b/>
          <w:bCs/>
          <w:color w:val="7030A0"/>
          <w:sz w:val="24"/>
          <w:szCs w:val="24"/>
        </w:rPr>
        <w:t>Please note that candidates will be unable to access the ‘Revision Express’ e-learning package (free of charge) or ‘</w:t>
      </w:r>
      <w:proofErr w:type="spellStart"/>
      <w:r w:rsidRPr="00552FA3">
        <w:rPr>
          <w:rFonts w:ascii="MyriadPro-Regular" w:hAnsi="MyriadPro-Regular" w:cs="MyriadPro-Regular"/>
          <w:b/>
          <w:bCs/>
          <w:color w:val="7030A0"/>
          <w:sz w:val="24"/>
          <w:szCs w:val="24"/>
        </w:rPr>
        <w:t>MyCISI</w:t>
      </w:r>
      <w:proofErr w:type="spellEnd"/>
      <w:r w:rsidRPr="00552FA3">
        <w:rPr>
          <w:rFonts w:ascii="MyriadPro-Regular" w:hAnsi="MyriadPro-Regular" w:cs="MyriadPro-Regular"/>
          <w:b/>
          <w:bCs/>
          <w:color w:val="7030A0"/>
          <w:sz w:val="24"/>
          <w:szCs w:val="24"/>
        </w:rPr>
        <w:t>’ (part of free student membership) if we do not have live email addresses for them</w:t>
      </w:r>
      <w:r>
        <w:rPr>
          <w:rFonts w:ascii="MyriadPro-Regular" w:hAnsi="MyriadPro-Regular" w:cs="MyriadPro-Regular"/>
          <w:b/>
          <w:bCs/>
          <w:color w:val="7030A0"/>
          <w:sz w:val="24"/>
          <w:szCs w:val="24"/>
        </w:rPr>
        <w:t xml:space="preserve"> when registered</w:t>
      </w:r>
      <w:r w:rsidRPr="00552FA3">
        <w:rPr>
          <w:rFonts w:ascii="MyriadPro-Regular" w:hAnsi="MyriadPro-Regular" w:cs="MyriadPro-Regular"/>
          <w:b/>
          <w:bCs/>
          <w:color w:val="7030A0"/>
          <w:sz w:val="24"/>
          <w:szCs w:val="24"/>
        </w:rPr>
        <w:t>.</w:t>
      </w:r>
    </w:p>
    <w:p w14:paraId="3E373D8C" w14:textId="77777777" w:rsidR="00836B5F" w:rsidRDefault="00836B5F" w:rsidP="00682701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</w:pPr>
    </w:p>
    <w:p w14:paraId="1D6BEF11" w14:textId="77777777" w:rsidR="00836B5F" w:rsidRDefault="00836B5F" w:rsidP="00682701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</w:pPr>
    </w:p>
    <w:p w14:paraId="514633C8" w14:textId="77777777" w:rsidR="00836B5F" w:rsidRDefault="00836B5F" w:rsidP="00682701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</w:pPr>
    </w:p>
    <w:p w14:paraId="0770D9DD" w14:textId="77777777" w:rsidR="00836B5F" w:rsidRDefault="00836B5F" w:rsidP="00682701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</w:pPr>
    </w:p>
    <w:p w14:paraId="5442F3EE" w14:textId="77777777" w:rsidR="00836B5F" w:rsidRDefault="00836B5F" w:rsidP="00682701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</w:pPr>
    </w:p>
    <w:p w14:paraId="10E96A6D" w14:textId="77777777" w:rsidR="00836B5F" w:rsidRDefault="00836B5F" w:rsidP="00682701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</w:pPr>
    </w:p>
    <w:p w14:paraId="7502235D" w14:textId="77777777" w:rsidR="00836B5F" w:rsidRDefault="00836B5F" w:rsidP="00682701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</w:pPr>
    </w:p>
    <w:p w14:paraId="0202D4C8" w14:textId="77777777" w:rsidR="00836B5F" w:rsidRDefault="00836B5F" w:rsidP="00682701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</w:pPr>
    </w:p>
    <w:p w14:paraId="28327EDE" w14:textId="77777777" w:rsidR="00836B5F" w:rsidRDefault="00836B5F" w:rsidP="00682701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</w:pPr>
    </w:p>
    <w:p w14:paraId="2C2A7F25" w14:textId="77777777" w:rsidR="00836B5F" w:rsidRDefault="00836B5F" w:rsidP="00682701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</w:pPr>
    </w:p>
    <w:p w14:paraId="76500D14" w14:textId="77777777" w:rsidR="00836B5F" w:rsidRDefault="00836B5F" w:rsidP="00682701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</w:pPr>
    </w:p>
    <w:p w14:paraId="1F6E7E7C" w14:textId="755C7060" w:rsidR="00682701" w:rsidRDefault="00682701" w:rsidP="00682701">
      <w:p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</w:pPr>
      <w:r w:rsidRPr="00682701">
        <w:rPr>
          <w:rFonts w:ascii="MyriadPro-Regular" w:hAnsi="MyriadPro-Regular" w:cs="MyriadPro-Regular"/>
          <w:b/>
          <w:bCs/>
          <w:color w:val="008080"/>
          <w:sz w:val="24"/>
          <w:szCs w:val="24"/>
          <w:u w:val="single"/>
        </w:rPr>
        <w:lastRenderedPageBreak/>
        <w:t>ACCESSING THE REVISION EXPRESS E-LEARNING TOOL:</w:t>
      </w:r>
    </w:p>
    <w:p w14:paraId="122D2DBE" w14:textId="227BE366" w:rsidR="00682701" w:rsidRDefault="00682701" w:rsidP="00682701">
      <w:pPr>
        <w:rPr>
          <w:rFonts w:ascii="MyriadPro-Regular" w:hAnsi="MyriadPro-Regular" w:cs="MyriadPro-Regular"/>
          <w:sz w:val="24"/>
          <w:szCs w:val="24"/>
        </w:rPr>
      </w:pPr>
      <w:r w:rsidRPr="00682701">
        <w:rPr>
          <w:rFonts w:ascii="MyriadPro-Regular" w:hAnsi="MyriadPro-Regular"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B8862" wp14:editId="6B3A4E2C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895600" cy="1323439"/>
                <wp:effectExtent l="0" t="0" r="0" b="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39B9DF-98C0-DD43-9DCE-51A6BFA4A6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3234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EFF01E" w14:textId="77777777" w:rsidR="00682701" w:rsidRPr="00682701" w:rsidRDefault="00682701" w:rsidP="006827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2701">
                              <w:rPr>
                                <w:rFonts w:hAnsi="Calibri"/>
                                <w:b/>
                                <w:bCs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  <w:t>Step 1</w:t>
                            </w:r>
                          </w:p>
                          <w:p w14:paraId="03DB5185" w14:textId="77777777" w:rsidR="00682701" w:rsidRPr="00682701" w:rsidRDefault="00682701" w:rsidP="006827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270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To access the e-learning product, copy the following web address into the </w:t>
                            </w:r>
                            <w:proofErr w:type="spellStart"/>
                            <w:r w:rsidRPr="0068270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url</w:t>
                            </w:r>
                            <w:proofErr w:type="spellEnd"/>
                            <w:r w:rsidRPr="0068270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toolbar:</w:t>
                            </w:r>
                          </w:p>
                          <w:p w14:paraId="0FD30BA6" w14:textId="7F6E4D9F" w:rsidR="00682701" w:rsidRPr="00682701" w:rsidRDefault="00BD1014" w:rsidP="006827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="00682701" w:rsidRPr="00682701">
                                <w:rPr>
                                  <w:rStyle w:val="Hyperlink"/>
                                  <w:rFonts w:hAnsi="Calibri"/>
                                  <w:kern w:val="24"/>
                                  <w:sz w:val="24"/>
                                  <w:szCs w:val="24"/>
                                </w:rPr>
                                <w:t>https://www.cisi.org/cisiweb2/cisi-elearning/cisire</w:t>
                              </w:r>
                            </w:hyperlink>
                            <w:r w:rsidR="00682701" w:rsidRPr="0068270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CB8862" id="Rectangle 14" o:spid="_x0000_s1026" style="position:absolute;margin-left:0;margin-top:11.6pt;width:228pt;height:104.2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" filled="f" stroked="f">
                <v:textbox style="mso-fit-shape-to-text:t">
                  <w:txbxContent>
                    <w:p w14:paraId="04EFF01E" w14:textId="77777777" w:rsidR="00682701" w:rsidRPr="00682701" w:rsidRDefault="00682701" w:rsidP="00682701">
                      <w:pPr>
                        <w:rPr>
                          <w:sz w:val="24"/>
                          <w:szCs w:val="24"/>
                        </w:rPr>
                      </w:pPr>
                      <w:r w:rsidRPr="00682701">
                        <w:rPr>
                          <w:rFonts w:hAnsi="Calibri"/>
                          <w:b/>
                          <w:bCs/>
                          <w:color w:val="7030A0"/>
                          <w:kern w:val="24"/>
                          <w:sz w:val="24"/>
                          <w:szCs w:val="24"/>
                        </w:rPr>
                        <w:t>Step 1</w:t>
                      </w:r>
                    </w:p>
                    <w:p w14:paraId="03DB5185" w14:textId="77777777" w:rsidR="00682701" w:rsidRPr="00682701" w:rsidRDefault="00682701" w:rsidP="00682701">
                      <w:pPr>
                        <w:rPr>
                          <w:sz w:val="24"/>
                          <w:szCs w:val="24"/>
                        </w:rPr>
                      </w:pPr>
                      <w:r w:rsidRPr="0068270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To access the e-learning product, copy the following web address into the </w:t>
                      </w:r>
                      <w:proofErr w:type="spellStart"/>
                      <w:r w:rsidRPr="0068270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url</w:t>
                      </w:r>
                      <w:proofErr w:type="spellEnd"/>
                      <w:r w:rsidRPr="0068270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toolbar:</w:t>
                      </w:r>
                    </w:p>
                    <w:p w14:paraId="0FD30BA6" w14:textId="7F6E4D9F" w:rsidR="00682701" w:rsidRPr="00682701" w:rsidRDefault="00BD1014" w:rsidP="00682701">
                      <w:pPr>
                        <w:rPr>
                          <w:sz w:val="24"/>
                          <w:szCs w:val="24"/>
                        </w:rPr>
                      </w:pPr>
                      <w:hyperlink r:id="rId15" w:history="1">
                        <w:r w:rsidR="00682701" w:rsidRPr="00682701">
                          <w:rPr>
                            <w:rStyle w:val="Hyperlink"/>
                            <w:rFonts w:hAnsi="Calibri"/>
                            <w:kern w:val="24"/>
                            <w:sz w:val="24"/>
                            <w:szCs w:val="24"/>
                          </w:rPr>
                          <w:t>https://www.cisi.org/cisiweb2/cisi-elearning/cisire</w:t>
                        </w:r>
                      </w:hyperlink>
                      <w:r w:rsidR="00682701" w:rsidRPr="0068270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3D3D75" w14:textId="162F1434" w:rsidR="00682701" w:rsidRDefault="00682701" w:rsidP="00682701">
      <w:pPr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66B2AB7" wp14:editId="79E6FEC1">
            <wp:simplePos x="0" y="0"/>
            <wp:positionH relativeFrom="column">
              <wp:posOffset>2876550</wp:posOffset>
            </wp:positionH>
            <wp:positionV relativeFrom="paragraph">
              <wp:posOffset>1731010</wp:posOffset>
            </wp:positionV>
            <wp:extent cx="3448050" cy="65722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657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2701">
        <w:rPr>
          <w:rFonts w:ascii="MyriadPro-Regular" w:hAnsi="MyriadPro-Regular"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8A2AC" wp14:editId="0EC32356">
                <wp:simplePos x="0" y="0"/>
                <wp:positionH relativeFrom="margin">
                  <wp:posOffset>9526</wp:posOffset>
                </wp:positionH>
                <wp:positionV relativeFrom="paragraph">
                  <wp:posOffset>3378835</wp:posOffset>
                </wp:positionV>
                <wp:extent cx="2876550" cy="1815465"/>
                <wp:effectExtent l="0" t="0" r="0" b="0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57F5A7-61A2-A24D-BA88-825300C68A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81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5EA9D9" w14:textId="77777777" w:rsidR="00682701" w:rsidRPr="00682701" w:rsidRDefault="00682701" w:rsidP="006827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2701">
                              <w:rPr>
                                <w:rFonts w:hAnsi="Calibri"/>
                                <w:b/>
                                <w:bCs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  <w:t>Step 3</w:t>
                            </w:r>
                          </w:p>
                          <w:p w14:paraId="33A6F50D" w14:textId="77777777" w:rsidR="00682701" w:rsidRPr="00682701" w:rsidRDefault="00682701" w:rsidP="006827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270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Once logged in, you will be able to locate the revision package that your course relates to e.g. Fundamentals of Financial Services.</w:t>
                            </w:r>
                          </w:p>
                          <w:p w14:paraId="2713BA15" w14:textId="77777777" w:rsidR="00682701" w:rsidRPr="00682701" w:rsidRDefault="00682701" w:rsidP="006827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270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Once located, click on the icon and this will take you to the course-related content.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D8A2AC" id="Rectangle 15" o:spid="_x0000_s1027" style="position:absolute;margin-left:.75pt;margin-top:266.05pt;width:226.5pt;height:142.9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" filled="f" stroked="f">
                <v:textbox>
                  <w:txbxContent>
                    <w:p w14:paraId="7D5EA9D9" w14:textId="77777777" w:rsidR="00682701" w:rsidRPr="00682701" w:rsidRDefault="00682701" w:rsidP="00682701">
                      <w:pPr>
                        <w:rPr>
                          <w:sz w:val="24"/>
                          <w:szCs w:val="24"/>
                        </w:rPr>
                      </w:pPr>
                      <w:r w:rsidRPr="00682701">
                        <w:rPr>
                          <w:rFonts w:hAnsi="Calibri"/>
                          <w:b/>
                          <w:bCs/>
                          <w:color w:val="7030A0"/>
                          <w:kern w:val="24"/>
                          <w:sz w:val="24"/>
                          <w:szCs w:val="24"/>
                        </w:rPr>
                        <w:t>Step 3</w:t>
                      </w:r>
                    </w:p>
                    <w:p w14:paraId="33A6F50D" w14:textId="77777777" w:rsidR="00682701" w:rsidRPr="00682701" w:rsidRDefault="00682701" w:rsidP="00682701">
                      <w:pPr>
                        <w:rPr>
                          <w:sz w:val="24"/>
                          <w:szCs w:val="24"/>
                        </w:rPr>
                      </w:pPr>
                      <w:r w:rsidRPr="0068270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Once logged in, you will be able to locate the revision package that your course relates to e.g. Fundamentals of Financial Services.</w:t>
                      </w:r>
                    </w:p>
                    <w:p w14:paraId="2713BA15" w14:textId="77777777" w:rsidR="00682701" w:rsidRPr="00682701" w:rsidRDefault="00682701" w:rsidP="00682701">
                      <w:pPr>
                        <w:rPr>
                          <w:sz w:val="24"/>
                          <w:szCs w:val="24"/>
                        </w:rPr>
                      </w:pPr>
                      <w:r w:rsidRPr="0068270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Once located, click on the icon and this will take you to the course-related content.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82701">
        <w:rPr>
          <w:rFonts w:ascii="MyriadPro-Regular" w:hAnsi="MyriadPro-Regular"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179F6" wp14:editId="6D78619E">
                <wp:simplePos x="0" y="0"/>
                <wp:positionH relativeFrom="margin">
                  <wp:align>left</wp:align>
                </wp:positionH>
                <wp:positionV relativeFrom="paragraph">
                  <wp:posOffset>5542280</wp:posOffset>
                </wp:positionV>
                <wp:extent cx="2886075" cy="2308225"/>
                <wp:effectExtent l="0" t="0" r="0" b="0"/>
                <wp:wrapNone/>
                <wp:docPr id="21" name="Rectangl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0B86A6-DFB7-C74E-BC23-F83E88AF0B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30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10B75D" w14:textId="77777777" w:rsidR="00682701" w:rsidRPr="00682701" w:rsidRDefault="00682701" w:rsidP="006827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2701">
                              <w:rPr>
                                <w:rFonts w:hAnsi="Calibri"/>
                                <w:b/>
                                <w:bCs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  <w:t>Step 4</w:t>
                            </w:r>
                          </w:p>
                          <w:p w14:paraId="66574AB1" w14:textId="77777777" w:rsidR="00682701" w:rsidRPr="00682701" w:rsidRDefault="00682701" w:rsidP="006827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270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Once you have selected your course module, you can select individual chapters that you would like to focus on.  For each chapter, you can select to take a timed, multiple-choice chapter test at the end of the content.</w:t>
                            </w:r>
                          </w:p>
                          <w:p w14:paraId="3DD95552" w14:textId="77777777" w:rsidR="00682701" w:rsidRPr="00682701" w:rsidRDefault="00682701" w:rsidP="006827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270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At the bottom of the chapter selection screen, you can also take an exam standard test which covers the entire qualification content.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D179F6" id="Rectangle 20" o:spid="_x0000_s1028" style="position:absolute;margin-left:0;margin-top:436.4pt;width:227.25pt;height:181.7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" filled="f" stroked="f">
                <v:textbox>
                  <w:txbxContent>
                    <w:p w14:paraId="5210B75D" w14:textId="77777777" w:rsidR="00682701" w:rsidRPr="00682701" w:rsidRDefault="00682701" w:rsidP="00682701">
                      <w:pPr>
                        <w:rPr>
                          <w:sz w:val="24"/>
                          <w:szCs w:val="24"/>
                        </w:rPr>
                      </w:pPr>
                      <w:r w:rsidRPr="00682701">
                        <w:rPr>
                          <w:rFonts w:hAnsi="Calibri"/>
                          <w:b/>
                          <w:bCs/>
                          <w:color w:val="7030A0"/>
                          <w:kern w:val="24"/>
                          <w:sz w:val="24"/>
                          <w:szCs w:val="24"/>
                        </w:rPr>
                        <w:t>Step 4</w:t>
                      </w:r>
                    </w:p>
                    <w:p w14:paraId="66574AB1" w14:textId="77777777" w:rsidR="00682701" w:rsidRPr="00682701" w:rsidRDefault="00682701" w:rsidP="00682701">
                      <w:pPr>
                        <w:rPr>
                          <w:sz w:val="24"/>
                          <w:szCs w:val="24"/>
                        </w:rPr>
                      </w:pPr>
                      <w:r w:rsidRPr="0068270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Once you have selected your course module, you can select individual chapters that you would like to focus on.  For each chapter, you can select to take a timed, multiple-choice chapter test at the end of the content.</w:t>
                      </w:r>
                    </w:p>
                    <w:p w14:paraId="3DD95552" w14:textId="77777777" w:rsidR="00682701" w:rsidRPr="00682701" w:rsidRDefault="00682701" w:rsidP="00682701">
                      <w:pPr>
                        <w:rPr>
                          <w:sz w:val="24"/>
                          <w:szCs w:val="24"/>
                        </w:rPr>
                      </w:pPr>
                      <w:r w:rsidRPr="0068270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At the bottom of the chapter selection screen, you can also take an exam standard test which covers the entire qualification content.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82701">
        <w:rPr>
          <w:rFonts w:ascii="MyriadPro-Regular" w:hAnsi="MyriadPro-Regular"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3DA36" wp14:editId="67058F50">
                <wp:simplePos x="0" y="0"/>
                <wp:positionH relativeFrom="margin">
                  <wp:align>left</wp:align>
                </wp:positionH>
                <wp:positionV relativeFrom="paragraph">
                  <wp:posOffset>1530985</wp:posOffset>
                </wp:positionV>
                <wp:extent cx="2800350" cy="1077218"/>
                <wp:effectExtent l="0" t="0" r="0" b="0"/>
                <wp:wrapNone/>
                <wp:docPr id="14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3C7EAA-3211-1A4F-9E13-CBA46E9841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07721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80A9FD" w14:textId="77777777" w:rsidR="00682701" w:rsidRPr="00682701" w:rsidRDefault="00682701" w:rsidP="006827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82701">
                              <w:rPr>
                                <w:rFonts w:hAnsi="Calibri"/>
                                <w:b/>
                                <w:bCs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  <w:t>Step 2</w:t>
                            </w:r>
                          </w:p>
                          <w:p w14:paraId="5A062CF2" w14:textId="77777777" w:rsidR="00682701" w:rsidRPr="00682701" w:rsidRDefault="00682701" w:rsidP="006827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8270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Log in using your customer reference number and password.</w:t>
                            </w:r>
                          </w:p>
                          <w:p w14:paraId="39F7182E" w14:textId="77777777" w:rsidR="00682701" w:rsidRPr="00682701" w:rsidRDefault="00682701" w:rsidP="006827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8270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You may need to re-set your password via:</w:t>
                            </w:r>
                          </w:p>
                          <w:p w14:paraId="57677580" w14:textId="511CE67C" w:rsidR="00682701" w:rsidRPr="00682701" w:rsidRDefault="00BD1014" w:rsidP="006827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682701" w:rsidRPr="00682701">
                                <w:rPr>
                                  <w:rStyle w:val="Hyperlink"/>
                                  <w:rFonts w:hAnsi="Calibri"/>
                                  <w:kern w:val="24"/>
                                  <w:sz w:val="24"/>
                                  <w:szCs w:val="24"/>
                                </w:rPr>
                                <w:t>www.cisi.org/password</w:t>
                              </w:r>
                            </w:hyperlink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13DA36" id="Rectangle 13" o:spid="_x0000_s1029" style="position:absolute;margin-left:0;margin-top:120.55pt;width:220.5pt;height:84.8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" filled="f" stroked="f">
                <v:textbox style="mso-fit-shape-to-text:t">
                  <w:txbxContent>
                    <w:p w14:paraId="6380A9FD" w14:textId="77777777" w:rsidR="00682701" w:rsidRPr="00682701" w:rsidRDefault="00682701" w:rsidP="00682701">
                      <w:pPr>
                        <w:rPr>
                          <w:sz w:val="20"/>
                          <w:szCs w:val="20"/>
                        </w:rPr>
                      </w:pPr>
                      <w:r w:rsidRPr="00682701">
                        <w:rPr>
                          <w:rFonts w:hAnsi="Calibri"/>
                          <w:b/>
                          <w:bCs/>
                          <w:color w:val="7030A0"/>
                          <w:kern w:val="24"/>
                          <w:sz w:val="24"/>
                          <w:szCs w:val="24"/>
                        </w:rPr>
                        <w:t>Step 2</w:t>
                      </w:r>
                    </w:p>
                    <w:p w14:paraId="5A062CF2" w14:textId="77777777" w:rsidR="00682701" w:rsidRPr="00682701" w:rsidRDefault="00682701" w:rsidP="00682701">
                      <w:pPr>
                        <w:rPr>
                          <w:sz w:val="18"/>
                          <w:szCs w:val="18"/>
                        </w:rPr>
                      </w:pPr>
                      <w:r w:rsidRPr="0068270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Log in using your customer reference number and password.</w:t>
                      </w:r>
                    </w:p>
                    <w:p w14:paraId="39F7182E" w14:textId="77777777" w:rsidR="00682701" w:rsidRPr="00682701" w:rsidRDefault="00682701" w:rsidP="00682701">
                      <w:pPr>
                        <w:rPr>
                          <w:sz w:val="18"/>
                          <w:szCs w:val="18"/>
                        </w:rPr>
                      </w:pPr>
                      <w:r w:rsidRPr="00682701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You may need to re-set your password via:</w:t>
                      </w:r>
                    </w:p>
                    <w:p w14:paraId="57677580" w14:textId="511CE67C" w:rsidR="00682701" w:rsidRPr="00682701" w:rsidRDefault="00BD1014" w:rsidP="00682701">
                      <w:pPr>
                        <w:rPr>
                          <w:sz w:val="18"/>
                          <w:szCs w:val="18"/>
                        </w:rPr>
                      </w:pPr>
                      <w:hyperlink r:id="rId18" w:history="1">
                        <w:r w:rsidR="00682701" w:rsidRPr="00682701">
                          <w:rPr>
                            <w:rStyle w:val="Hyperlink"/>
                            <w:rFonts w:hAnsi="Calibri"/>
                            <w:kern w:val="24"/>
                            <w:sz w:val="24"/>
                            <w:szCs w:val="24"/>
                          </w:rPr>
                          <w:t>www.cisi.org/password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26C54A" w14:textId="156B7CC8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579EB06A" w14:textId="7DE2AF57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7C6D9ED4" w14:textId="14731F88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1F8D6945" w14:textId="0F0C2CC6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611E5DF4" w14:textId="6507320E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601829D0" w14:textId="1A08EB87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63406126" w14:textId="37DBD71B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07D7FAA8" w14:textId="03B7BC54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3AC085F5" w14:textId="06DFDEA0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556C52B3" w14:textId="37AD8E2B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1833EC1A" w14:textId="1AF56B2D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541D6CFF" w14:textId="07EB4FB4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695D506E" w14:textId="3BE373F6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1FE482B4" w14:textId="1C77012B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1C7496EE" w14:textId="3FCEE6CD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7F79251B" w14:textId="65916675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161474D7" w14:textId="29D329E2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24FA8B69" w14:textId="3AC2F97C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64E9E8AE" w14:textId="7C9044DB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45AE8A1B" w14:textId="53F51416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7C106781" w14:textId="1C5FC610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213E1394" w14:textId="6581DE58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423BBE0B" w14:textId="08F6914E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763100A0" w14:textId="50F1E92B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p w14:paraId="6B8AF7F3" w14:textId="4D57239B" w:rsidR="00E07058" w:rsidRPr="00E07058" w:rsidRDefault="00E07058" w:rsidP="00E07058">
      <w:pPr>
        <w:rPr>
          <w:rFonts w:ascii="MyriadPro-Regular" w:hAnsi="MyriadPro-Regular" w:cs="MyriadPro-Regular"/>
          <w:sz w:val="24"/>
          <w:szCs w:val="24"/>
        </w:rPr>
      </w:pPr>
    </w:p>
    <w:sectPr w:rsidR="00E07058" w:rsidRPr="00E07058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8CF9" w14:textId="77777777" w:rsidR="001A6AF7" w:rsidRDefault="001A6AF7" w:rsidP="00682701">
      <w:pPr>
        <w:spacing w:after="0" w:line="240" w:lineRule="auto"/>
      </w:pPr>
      <w:r>
        <w:separator/>
      </w:r>
    </w:p>
  </w:endnote>
  <w:endnote w:type="continuationSeparator" w:id="0">
    <w:p w14:paraId="14B34F92" w14:textId="77777777" w:rsidR="001A6AF7" w:rsidRDefault="001A6AF7" w:rsidP="0068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328E8" w14:textId="77777777" w:rsidR="001A6AF7" w:rsidRDefault="001A6AF7" w:rsidP="00682701">
      <w:pPr>
        <w:spacing w:after="0" w:line="240" w:lineRule="auto"/>
      </w:pPr>
      <w:r>
        <w:separator/>
      </w:r>
    </w:p>
  </w:footnote>
  <w:footnote w:type="continuationSeparator" w:id="0">
    <w:p w14:paraId="011FB3DE" w14:textId="77777777" w:rsidR="001A6AF7" w:rsidRDefault="001A6AF7" w:rsidP="00682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8FBB4" w14:textId="710C9DE5" w:rsidR="00682701" w:rsidRDefault="00682701">
    <w:pPr>
      <w:pStyle w:val="Header"/>
    </w:pPr>
    <w:r w:rsidRPr="00682701">
      <w:rPr>
        <w:noProof/>
      </w:rPr>
      <w:drawing>
        <wp:anchor distT="0" distB="0" distL="114300" distR="114300" simplePos="0" relativeHeight="251658240" behindDoc="0" locked="0" layoutInCell="1" allowOverlap="1" wp14:anchorId="0C125A19" wp14:editId="324A639D">
          <wp:simplePos x="0" y="0"/>
          <wp:positionH relativeFrom="margin">
            <wp:posOffset>4752975</wp:posOffset>
          </wp:positionH>
          <wp:positionV relativeFrom="paragraph">
            <wp:posOffset>-316230</wp:posOffset>
          </wp:positionV>
          <wp:extent cx="1610995" cy="762000"/>
          <wp:effectExtent l="0" t="0" r="825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99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AC5"/>
    <w:multiLevelType w:val="hybridMultilevel"/>
    <w:tmpl w:val="4EBCD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6856"/>
    <w:multiLevelType w:val="hybridMultilevel"/>
    <w:tmpl w:val="CD5CF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1E58"/>
    <w:multiLevelType w:val="hybridMultilevel"/>
    <w:tmpl w:val="8D8CB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F105B"/>
    <w:multiLevelType w:val="hybridMultilevel"/>
    <w:tmpl w:val="41C0BD3E"/>
    <w:lvl w:ilvl="0" w:tplc="AE6026C8">
      <w:start w:val="1"/>
      <w:numFmt w:val="decimal"/>
      <w:lvlText w:val="%1."/>
      <w:lvlJc w:val="left"/>
      <w:pPr>
        <w:ind w:left="720" w:hanging="360"/>
      </w:pPr>
      <w:rPr>
        <w:rFonts w:ascii="MyriadPro-Semibold" w:hAnsi="MyriadPro-Semibold" w:cs="MyriadPro-Semibold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26057">
    <w:abstractNumId w:val="3"/>
  </w:num>
  <w:num w:numId="2" w16cid:durableId="1507592387">
    <w:abstractNumId w:val="2"/>
  </w:num>
  <w:num w:numId="3" w16cid:durableId="1904026480">
    <w:abstractNumId w:val="1"/>
  </w:num>
  <w:num w:numId="4" w16cid:durableId="169634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C6"/>
    <w:rsid w:val="000D154F"/>
    <w:rsid w:val="001A58DE"/>
    <w:rsid w:val="001A6AF7"/>
    <w:rsid w:val="003F1F94"/>
    <w:rsid w:val="00420E4E"/>
    <w:rsid w:val="004275F0"/>
    <w:rsid w:val="004470FF"/>
    <w:rsid w:val="00552FA3"/>
    <w:rsid w:val="00573B5F"/>
    <w:rsid w:val="00682701"/>
    <w:rsid w:val="006E3AD3"/>
    <w:rsid w:val="007D5F79"/>
    <w:rsid w:val="00836B5F"/>
    <w:rsid w:val="00B16522"/>
    <w:rsid w:val="00B513C5"/>
    <w:rsid w:val="00BC6E68"/>
    <w:rsid w:val="00BD1014"/>
    <w:rsid w:val="00D55E3B"/>
    <w:rsid w:val="00D87F52"/>
    <w:rsid w:val="00E07058"/>
    <w:rsid w:val="00F13BCF"/>
    <w:rsid w:val="00FE2078"/>
    <w:rsid w:val="00FE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5D3D"/>
  <w15:chartTrackingRefBased/>
  <w15:docId w15:val="{AC6E31CD-8D27-495E-BAE5-B2BDD515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E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5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E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2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701"/>
  </w:style>
  <w:style w:type="paragraph" w:styleId="Footer">
    <w:name w:val="footer"/>
    <w:basedOn w:val="Normal"/>
    <w:link w:val="FooterChar"/>
    <w:uiPriority w:val="99"/>
    <w:unhideWhenUsed/>
    <w:rsid w:val="00682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701"/>
  </w:style>
  <w:style w:type="character" w:styleId="FollowedHyperlink">
    <w:name w:val="FollowedHyperlink"/>
    <w:basedOn w:val="DefaultParagraphFont"/>
    <w:uiPriority w:val="99"/>
    <w:semiHidden/>
    <w:unhideWhenUsed/>
    <w:rsid w:val="004470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isi.org/cisiweb2/en/Signin?returnURL=https%3a%2f%2fwww.cisi.org%2fcisiweb2%2fmycisi-pages%2fmycisi" TargetMode="External"/><Relationship Id="rId18" Type="http://schemas.openxmlformats.org/officeDocument/2006/relationships/hyperlink" Target="http://www.cisi.org/password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schoolsandcolleges@cisi.org" TargetMode="External"/><Relationship Id="rId17" Type="http://schemas.openxmlformats.org/officeDocument/2006/relationships/hyperlink" Target="http://www.cisi.org/password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www.cisi.org/cisiweb2/cisi-elearning/cisire" TargetMode="External"/><Relationship Id="rId10" Type="http://schemas.openxmlformats.org/officeDocument/2006/relationships/hyperlink" Target="mailto:schoolsandcolleges@cisi.org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isi.org/cisiweb2/cisi-elearning/cisi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5F8C47A80F94F8396ACDEB0842847" ma:contentTypeVersion="13" ma:contentTypeDescription="Create a new document." ma:contentTypeScope="" ma:versionID="f67c0674effae6b9b1aba0ab56bdedf8">
  <xsd:schema xmlns:xsd="http://www.w3.org/2001/XMLSchema" xmlns:xs="http://www.w3.org/2001/XMLSchema" xmlns:p="http://schemas.microsoft.com/office/2006/metadata/properties" xmlns:ns3="d497c926-d70d-4521-8036-d4e19a3efe93" xmlns:ns4="dc62107f-33cf-43a0-9137-00b53b953f9b" targetNamespace="http://schemas.microsoft.com/office/2006/metadata/properties" ma:root="true" ma:fieldsID="a09322640708be1b9438d497c368a094" ns3:_="" ns4:_="">
    <xsd:import namespace="d497c926-d70d-4521-8036-d4e19a3efe93"/>
    <xsd:import namespace="dc62107f-33cf-43a0-9137-00b53b953f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7c926-d70d-4521-8036-d4e19a3efe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2107f-33cf-43a0-9137-00b53b953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A87CA6-428B-49DF-A110-5A78001EF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E36F6-0C19-4AFB-8EC3-3BF68481D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7c926-d70d-4521-8036-d4e19a3efe93"/>
    <ds:schemaRef ds:uri="dc62107f-33cf-43a0-9137-00b53b953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8B860-DFCD-4BC3-B78D-A04FC436FE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2782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Bolton</dc:creator>
  <cp:keywords/>
  <dc:description/>
  <cp:lastModifiedBy>David Buckton</cp:lastModifiedBy>
  <cp:revision>2</cp:revision>
  <cp:lastPrinted>2021-08-03T09:22:00Z</cp:lastPrinted>
  <dcterms:created xsi:type="dcterms:W3CDTF">2022-09-01T10:17:00Z</dcterms:created>
  <dcterms:modified xsi:type="dcterms:W3CDTF">2022-09-01T10:17:00Z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0x010100E3B5F8C47A80F94F8396ACDEB0842847</vt:lpwstr>
  </property>
</Properties>
</file>